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8"/>
          <w:szCs w:val="28"/>
        </w:rPr>
      </w:pPr>
      <w:r w:rsidDel="00000000" w:rsidR="00000000" w:rsidRPr="00000000">
        <w:rPr>
          <w:b w:val="1"/>
          <w:sz w:val="28"/>
          <w:szCs w:val="28"/>
          <w:rtl w:val="0"/>
        </w:rPr>
        <w:t xml:space="preserve">Casa Dragones se pinta del color Pantone 2019, </w:t>
      </w:r>
      <w:r w:rsidDel="00000000" w:rsidR="00000000" w:rsidRPr="00000000">
        <w:rPr>
          <w:b w:val="1"/>
          <w:i w:val="1"/>
          <w:sz w:val="28"/>
          <w:szCs w:val="28"/>
          <w:rtl w:val="0"/>
        </w:rPr>
        <w:t xml:space="preserve">Living Coral</w:t>
      </w:r>
      <w:r w:rsidDel="00000000" w:rsidR="00000000" w:rsidRPr="00000000">
        <w:rPr>
          <w:b w:val="1"/>
          <w:sz w:val="28"/>
          <w:szCs w:val="28"/>
          <w:rtl w:val="0"/>
        </w:rPr>
        <w:t xml:space="preserve"> con </w:t>
      </w:r>
      <w:r w:rsidDel="00000000" w:rsidR="00000000" w:rsidRPr="00000000">
        <w:rPr>
          <w:b w:val="1"/>
          <w:i w:val="1"/>
          <w:sz w:val="28"/>
          <w:szCs w:val="28"/>
          <w:rtl w:val="0"/>
        </w:rPr>
        <w:t xml:space="preserve">Corazón de Dragón</w:t>
      </w:r>
      <w:r w:rsidDel="00000000" w:rsidR="00000000" w:rsidRPr="00000000">
        <w:rPr>
          <w:b w:val="1"/>
          <w:sz w:val="28"/>
          <w:szCs w:val="28"/>
          <w:rtl w:val="0"/>
        </w:rPr>
        <w:t xml:space="preserve"> de Romi </w:t>
      </w:r>
    </w:p>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ind w:left="720" w:hanging="360"/>
        <w:jc w:val="center"/>
        <w:rPr/>
      </w:pPr>
      <w:r w:rsidDel="00000000" w:rsidR="00000000" w:rsidRPr="00000000">
        <w:rPr>
          <w:rtl w:val="0"/>
        </w:rPr>
        <w:t xml:space="preserve">Tequila Casa Dragones presenta un nuevo coctel inspirado en el color Pantone 2019: Living Coral</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w:t>
      </w:r>
      <w:r w:rsidDel="00000000" w:rsidR="00000000" w:rsidRPr="00000000">
        <w:rPr>
          <w:b w:val="1"/>
          <w:rtl w:val="0"/>
        </w:rPr>
        <w:t xml:space="preserve">14 de enero de 2019.- </w:t>
      </w:r>
      <w:r w:rsidDel="00000000" w:rsidR="00000000" w:rsidRPr="00000000">
        <w:rPr>
          <w:rtl w:val="0"/>
        </w:rPr>
        <w:t xml:space="preserve">Por segundo año consecutivo</w:t>
      </w:r>
      <w:r w:rsidDel="00000000" w:rsidR="00000000" w:rsidRPr="00000000">
        <w:rPr>
          <w:b w:val="1"/>
          <w:rtl w:val="0"/>
        </w:rPr>
        <w:t xml:space="preserve">, </w:t>
      </w:r>
      <w:r w:rsidDel="00000000" w:rsidR="00000000" w:rsidRPr="00000000">
        <w:rPr>
          <w:rtl w:val="0"/>
        </w:rPr>
        <w:t xml:space="preserve">Tequila Casa Dragones comienza el año impulsando la mixología en México, creando un coctel inspirado en el color designado por Pantone Color Institute para el 2019, Living Coral de la mano de un nuevo lugar que permite disfrutar mixología de autor, Zona Aurea en Auditorio Nacional.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bookmarkStart w:colFirst="0" w:colLast="0" w:name="_gjdgxs" w:id="0"/>
      <w:bookmarkEnd w:id="0"/>
      <w:r w:rsidDel="00000000" w:rsidR="00000000" w:rsidRPr="00000000">
        <w:rPr>
          <w:i w:val="1"/>
          <w:rtl w:val="0"/>
        </w:rPr>
        <w:t xml:space="preserve">Corazón de Dragón</w:t>
      </w:r>
      <w:r w:rsidDel="00000000" w:rsidR="00000000" w:rsidRPr="00000000">
        <w:rPr>
          <w:rtl w:val="0"/>
        </w:rPr>
        <w:t xml:space="preserve"> de Romi, fue inspirado por la elegancia y sofisticación de Tequila Casa Dragones Blanco, en sus sabores aterciopelados, cítricos y florales.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Ingredientes: </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pPr>
      <w:r w:rsidDel="00000000" w:rsidR="00000000" w:rsidRPr="00000000">
        <w:rPr>
          <w:rtl w:val="0"/>
        </w:rPr>
        <w:t xml:space="preserve">50 ml de Casa Dragones Blanco. </w:t>
      </w:r>
    </w:p>
    <w:p w:rsidR="00000000" w:rsidDel="00000000" w:rsidP="00000000" w:rsidRDefault="00000000" w:rsidRPr="00000000" w14:paraId="0000000B">
      <w:pPr>
        <w:numPr>
          <w:ilvl w:val="0"/>
          <w:numId w:val="2"/>
        </w:numPr>
        <w:ind w:left="720" w:hanging="360"/>
        <w:jc w:val="both"/>
        <w:rPr/>
      </w:pPr>
      <w:r w:rsidDel="00000000" w:rsidR="00000000" w:rsidRPr="00000000">
        <w:rPr>
          <w:rtl w:val="0"/>
        </w:rPr>
        <w:t xml:space="preserve">20 ml de jarabe de granada. </w:t>
      </w:r>
    </w:p>
    <w:p w:rsidR="00000000" w:rsidDel="00000000" w:rsidP="00000000" w:rsidRDefault="00000000" w:rsidRPr="00000000" w14:paraId="0000000C">
      <w:pPr>
        <w:numPr>
          <w:ilvl w:val="0"/>
          <w:numId w:val="2"/>
        </w:numPr>
        <w:ind w:left="720" w:hanging="360"/>
        <w:jc w:val="both"/>
        <w:rPr/>
      </w:pPr>
      <w:r w:rsidDel="00000000" w:rsidR="00000000" w:rsidRPr="00000000">
        <w:rPr>
          <w:rtl w:val="0"/>
        </w:rPr>
        <w:t xml:space="preserve">15 ml licor de horchata.</w:t>
      </w:r>
    </w:p>
    <w:p w:rsidR="00000000" w:rsidDel="00000000" w:rsidP="00000000" w:rsidRDefault="00000000" w:rsidRPr="00000000" w14:paraId="0000000D">
      <w:pPr>
        <w:numPr>
          <w:ilvl w:val="0"/>
          <w:numId w:val="2"/>
        </w:numPr>
        <w:ind w:left="720" w:hanging="360"/>
        <w:jc w:val="both"/>
        <w:rPr/>
      </w:pPr>
      <w:r w:rsidDel="00000000" w:rsidR="00000000" w:rsidRPr="00000000">
        <w:rPr>
          <w:rtl w:val="0"/>
        </w:rPr>
        <w:t xml:space="preserve">20 ml de jugo toronja.</w:t>
      </w:r>
    </w:p>
    <w:p w:rsidR="00000000" w:rsidDel="00000000" w:rsidP="00000000" w:rsidRDefault="00000000" w:rsidRPr="00000000" w14:paraId="0000000E">
      <w:pPr>
        <w:numPr>
          <w:ilvl w:val="0"/>
          <w:numId w:val="2"/>
        </w:numPr>
        <w:ind w:left="720" w:hanging="360"/>
        <w:jc w:val="both"/>
        <w:rPr/>
      </w:pPr>
      <w:r w:rsidDel="00000000" w:rsidR="00000000" w:rsidRPr="00000000">
        <w:rPr>
          <w:rtl w:val="0"/>
        </w:rPr>
        <w:t xml:space="preserve">10 ml de jugo de limón.</w:t>
      </w:r>
    </w:p>
    <w:p w:rsidR="00000000" w:rsidDel="00000000" w:rsidP="00000000" w:rsidRDefault="00000000" w:rsidRPr="00000000" w14:paraId="0000000F">
      <w:pPr>
        <w:numPr>
          <w:ilvl w:val="0"/>
          <w:numId w:val="2"/>
        </w:numPr>
        <w:ind w:left="720" w:hanging="360"/>
        <w:jc w:val="both"/>
        <w:rPr/>
      </w:pPr>
      <w:r w:rsidDel="00000000" w:rsidR="00000000" w:rsidRPr="00000000">
        <w:rPr>
          <w:rtl w:val="0"/>
        </w:rPr>
        <w:t xml:space="preserve">Chocolate blanco para decorar la copa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Modo de preparación:</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Vertir todos los ingredientes en un </w:t>
      </w:r>
      <w:r w:rsidDel="00000000" w:rsidR="00000000" w:rsidRPr="00000000">
        <w:rPr>
          <w:i w:val="1"/>
          <w:rtl w:val="0"/>
        </w:rPr>
        <w:t xml:space="preserve">shaker</w:t>
      </w:r>
      <w:r w:rsidDel="00000000" w:rsidR="00000000" w:rsidRPr="00000000">
        <w:rPr>
          <w:rtl w:val="0"/>
        </w:rPr>
        <w:t xml:space="preserve"> con hielo, colar y servir en una copa coupe decorada con chocolate blanc. Decorar con cáscara de naranja la copa.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coctel está disponible en el nuevo hot spot Zona Áurea en Auditorio Nacional, lugar al que se puede acceder reservando al correo </w:t>
      </w:r>
      <w:hyperlink r:id="rId6">
        <w:r w:rsidDel="00000000" w:rsidR="00000000" w:rsidRPr="00000000">
          <w:rPr>
            <w:color w:val="1155cc"/>
            <w:u w:val="single"/>
            <w:rtl w:val="0"/>
          </w:rPr>
          <w:t xml:space="preserve">reservaciones@zonaaureabar.com</w:t>
        </w:r>
      </w:hyperlink>
      <w:r w:rsidDel="00000000" w:rsidR="00000000" w:rsidRPr="00000000">
        <w:rPr>
          <w:rtl w:val="0"/>
        </w:rPr>
        <w:t xml:space="preserve">, los días que hay evento en el Auditorio Nacional.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Acerca de Casa Dragones</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25">
      <w:pPr>
        <w:jc w:val="both"/>
        <w:rPr>
          <w:color w:val="1155cc"/>
          <w:u w:val="single"/>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27">
      <w:pPr>
        <w:jc w:val="both"/>
        <w:rPr/>
      </w:pPr>
      <w:r w:rsidDel="00000000" w:rsidR="00000000" w:rsidRPr="00000000">
        <w:rPr>
          <w:rtl w:val="0"/>
        </w:rPr>
        <w:t xml:space="preserve">Ana Laura García Tinoco Ariza  </w:t>
      </w:r>
    </w:p>
    <w:p w:rsidR="00000000" w:rsidDel="00000000" w:rsidP="00000000" w:rsidRDefault="00000000" w:rsidRPr="00000000" w14:paraId="00000028">
      <w:pPr>
        <w:jc w:val="both"/>
        <w:rPr/>
      </w:pPr>
      <w:r w:rsidDel="00000000" w:rsidR="00000000" w:rsidRPr="00000000">
        <w:rPr>
          <w:rtl w:val="0"/>
        </w:rPr>
        <w:t xml:space="preserve">Another Company</w:t>
      </w:r>
    </w:p>
    <w:p w:rsidR="00000000" w:rsidDel="00000000" w:rsidP="00000000" w:rsidRDefault="00000000" w:rsidRPr="00000000" w14:paraId="00000029">
      <w:pPr>
        <w:jc w:val="both"/>
        <w:rPr/>
      </w:pPr>
      <w:r w:rsidDel="00000000" w:rsidR="00000000" w:rsidRPr="00000000">
        <w:rPr>
          <w:rtl w:val="0"/>
        </w:rPr>
        <w:t xml:space="preserve">ana@anothercompany.com.mx</w:t>
      </w:r>
    </w:p>
    <w:p w:rsidR="00000000" w:rsidDel="00000000" w:rsidP="00000000" w:rsidRDefault="00000000" w:rsidRPr="00000000" w14:paraId="0000002A">
      <w:pPr>
        <w:jc w:val="both"/>
        <w:rPr/>
      </w:pPr>
      <w:r w:rsidDel="00000000" w:rsidR="00000000" w:rsidRPr="00000000">
        <w:rPr>
          <w:rtl w:val="0"/>
        </w:rPr>
        <w:t xml:space="preserve">móvil: (52 1) 55 3198 9113</w:t>
      </w:r>
    </w:p>
    <w:p w:rsidR="00000000" w:rsidDel="00000000" w:rsidP="00000000" w:rsidRDefault="00000000" w:rsidRPr="00000000" w14:paraId="0000002B">
      <w:pPr>
        <w:jc w:val="both"/>
        <w:rPr/>
      </w:pPr>
      <w:r w:rsidDel="00000000" w:rsidR="00000000" w:rsidRPr="00000000">
        <w:rPr>
          <w:rtl w:val="0"/>
        </w:rPr>
        <w:t xml:space="preserve">T: +52 55 6392 1100 Ext.3416</w:t>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servaciones@zonaaureabar.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